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jc w:val="cente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Learning Organizations.</w:t>
      </w:r>
    </w:p>
    <w:p w:rsidR="00BD34BE" w:rsidRPr="00BD34BE" w:rsidRDefault="00BD34BE" w:rsidP="00BD34BE">
      <w:pPr>
        <w:spacing w:line="480" w:lineRule="auto"/>
        <w:jc w:val="cente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Name.</w:t>
      </w:r>
    </w:p>
    <w:p w:rsidR="00BD34BE" w:rsidRPr="00BD34BE" w:rsidRDefault="00BD34BE" w:rsidP="00BD34BE">
      <w:pPr>
        <w:spacing w:line="480" w:lineRule="auto"/>
        <w:jc w:val="cente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Institution.</w:t>
      </w:r>
    </w:p>
    <w:p w:rsidR="00BD34BE" w:rsidRPr="00BD34BE" w:rsidRDefault="00BD34BE" w:rsidP="00BD34BE">
      <w:pPr>
        <w:spacing w:line="480" w:lineRule="auto"/>
        <w:jc w:val="cente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Date.</w:t>
      </w: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rPr>
          <w:rFonts w:ascii="Times New Roman" w:hAnsi="Times New Roman" w:cs="Times New Roman"/>
          <w:w w:val="105"/>
          <w:sz w:val="24"/>
          <w:szCs w:val="24"/>
          <w:lang w:eastAsia="en-GB"/>
        </w:rPr>
      </w:pPr>
    </w:p>
    <w:p w:rsidR="00BD34BE" w:rsidRPr="00BD34BE" w:rsidRDefault="00BD34BE" w:rsidP="00BD34BE">
      <w:pPr>
        <w:spacing w:line="480" w:lineRule="auto"/>
        <w:jc w:val="center"/>
        <w:rPr>
          <w:rFonts w:ascii="Times New Roman" w:hAnsi="Times New Roman" w:cs="Times New Roman"/>
          <w:b/>
          <w:w w:val="105"/>
          <w:sz w:val="24"/>
          <w:szCs w:val="24"/>
          <w:lang w:eastAsia="en-GB"/>
        </w:rPr>
      </w:pPr>
    </w:p>
    <w:p w:rsidR="00BD34BE" w:rsidRPr="00BD34BE" w:rsidRDefault="00BD34BE" w:rsidP="00BD34BE">
      <w:pPr>
        <w:spacing w:line="480" w:lineRule="auto"/>
        <w:jc w:val="center"/>
        <w:rPr>
          <w:rFonts w:ascii="Times New Roman" w:hAnsi="Times New Roman" w:cs="Times New Roman"/>
          <w:b/>
          <w:w w:val="105"/>
          <w:sz w:val="24"/>
          <w:szCs w:val="24"/>
          <w:lang w:eastAsia="en-GB"/>
        </w:rPr>
      </w:pPr>
    </w:p>
    <w:p w:rsidR="00BD34BE" w:rsidRPr="00BD34BE" w:rsidRDefault="00BD34BE" w:rsidP="00BD34BE">
      <w:pPr>
        <w:spacing w:line="480" w:lineRule="auto"/>
        <w:jc w:val="center"/>
        <w:rPr>
          <w:rFonts w:ascii="Times New Roman" w:hAnsi="Times New Roman" w:cs="Times New Roman"/>
          <w:b/>
          <w:w w:val="105"/>
          <w:sz w:val="24"/>
          <w:szCs w:val="24"/>
          <w:lang w:eastAsia="en-GB"/>
        </w:rPr>
      </w:pPr>
    </w:p>
    <w:p w:rsidR="00BD34BE" w:rsidRPr="00BD34BE" w:rsidRDefault="00BD34BE" w:rsidP="00BD34BE">
      <w:pPr>
        <w:spacing w:line="480" w:lineRule="auto"/>
        <w:rPr>
          <w:rFonts w:ascii="Times New Roman" w:hAnsi="Times New Roman" w:cs="Times New Roman"/>
          <w:b/>
          <w:w w:val="105"/>
          <w:sz w:val="24"/>
          <w:szCs w:val="24"/>
          <w:lang w:eastAsia="en-GB"/>
        </w:rPr>
      </w:pPr>
    </w:p>
    <w:p w:rsidR="00BD34BE" w:rsidRPr="00055E1E" w:rsidRDefault="00BD34BE" w:rsidP="00BD34BE">
      <w:pPr>
        <w:spacing w:line="480" w:lineRule="auto"/>
        <w:jc w:val="center"/>
        <w:rPr>
          <w:rFonts w:ascii="Times New Roman" w:hAnsi="Times New Roman" w:cs="Times New Roman"/>
          <w:w w:val="105"/>
          <w:sz w:val="24"/>
          <w:szCs w:val="24"/>
          <w:lang w:eastAsia="en-GB"/>
        </w:rPr>
      </w:pPr>
      <w:r w:rsidRPr="00055E1E">
        <w:rPr>
          <w:rFonts w:ascii="Times New Roman" w:hAnsi="Times New Roman" w:cs="Times New Roman"/>
          <w:w w:val="105"/>
          <w:sz w:val="24"/>
          <w:szCs w:val="24"/>
          <w:lang w:eastAsia="en-GB"/>
        </w:rPr>
        <w:lastRenderedPageBreak/>
        <w:t>W</w:t>
      </w:r>
      <w:r w:rsidR="00055E1E" w:rsidRPr="00055E1E">
        <w:rPr>
          <w:rFonts w:ascii="Times New Roman" w:hAnsi="Times New Roman" w:cs="Times New Roman"/>
          <w:w w:val="105"/>
          <w:sz w:val="24"/>
          <w:szCs w:val="24"/>
          <w:lang w:eastAsia="en-GB"/>
        </w:rPr>
        <w:t>hy learning organizations have the potential to reach high levels of efficiency and performance.</w:t>
      </w:r>
    </w:p>
    <w:p w:rsidR="00BD34BE" w:rsidRPr="00BD34BE" w:rsidRDefault="00BD34BE" w:rsidP="00BD34BE">
      <w:pPr>
        <w:spacing w:line="480" w:lineRule="auto"/>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Introduction.</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Learning organization</w:t>
      </w:r>
      <w:r w:rsidR="00055E1E">
        <w:rPr>
          <w:rFonts w:ascii="Times New Roman" w:hAnsi="Times New Roman" w:cs="Times New Roman"/>
          <w:w w:val="105"/>
          <w:sz w:val="24"/>
          <w:szCs w:val="24"/>
          <w:lang w:eastAsia="en-GB"/>
        </w:rPr>
        <w:t>s refer to</w:t>
      </w:r>
      <w:r w:rsidRPr="00BD34BE">
        <w:rPr>
          <w:rFonts w:ascii="Times New Roman" w:hAnsi="Times New Roman" w:cs="Times New Roman"/>
          <w:w w:val="105"/>
          <w:sz w:val="24"/>
          <w:szCs w:val="24"/>
          <w:lang w:eastAsia="en-GB"/>
        </w:rPr>
        <w:t xml:space="preserve"> institution</w:t>
      </w:r>
      <w:r w:rsidR="00055E1E">
        <w:rPr>
          <w:rFonts w:ascii="Times New Roman" w:hAnsi="Times New Roman" w:cs="Times New Roman"/>
          <w:w w:val="105"/>
          <w:sz w:val="24"/>
          <w:szCs w:val="24"/>
          <w:lang w:eastAsia="en-GB"/>
        </w:rPr>
        <w:t>s which are</w:t>
      </w:r>
      <w:r w:rsidRPr="00BD34BE">
        <w:rPr>
          <w:rFonts w:ascii="Times New Roman" w:hAnsi="Times New Roman" w:cs="Times New Roman"/>
          <w:w w:val="105"/>
          <w:sz w:val="24"/>
          <w:szCs w:val="24"/>
          <w:lang w:eastAsia="en-GB"/>
        </w:rPr>
        <w:t xml:space="preserve"> skilled in generating, obtaining and transferring knowledge, together with modifying its behaviour to fit the trending expertise and insights</w:t>
      </w:r>
      <w:r w:rsidR="00055E1E">
        <w:rPr>
          <w:rFonts w:ascii="Times New Roman" w:hAnsi="Times New Roman" w:cs="Times New Roman"/>
          <w:w w:val="105"/>
          <w:sz w:val="24"/>
          <w:szCs w:val="24"/>
          <w:lang w:eastAsia="en-GB"/>
        </w:rPr>
        <w:t xml:space="preserve"> of the people</w:t>
      </w:r>
      <w:r w:rsidRPr="00BD34BE">
        <w:rPr>
          <w:rFonts w:ascii="Times New Roman" w:hAnsi="Times New Roman" w:cs="Times New Roman"/>
          <w:w w:val="105"/>
          <w:sz w:val="24"/>
          <w:szCs w:val="24"/>
          <w:lang w:eastAsia="en-GB"/>
        </w:rPr>
        <w:t>. Literature f</w:t>
      </w:r>
      <w:r w:rsidR="00055E1E">
        <w:rPr>
          <w:rFonts w:ascii="Times New Roman" w:hAnsi="Times New Roman" w:cs="Times New Roman"/>
          <w:w w:val="105"/>
          <w:sz w:val="24"/>
          <w:szCs w:val="24"/>
          <w:lang w:eastAsia="en-GB"/>
        </w:rPr>
        <w:t>rom organization theorists hint</w:t>
      </w:r>
      <w:r w:rsidRPr="00BD34BE">
        <w:rPr>
          <w:rFonts w:ascii="Times New Roman" w:hAnsi="Times New Roman" w:cs="Times New Roman"/>
          <w:w w:val="105"/>
          <w:sz w:val="24"/>
          <w:szCs w:val="24"/>
          <w:lang w:eastAsia="en-GB"/>
        </w:rPr>
        <w:t xml:space="preserve"> that learning in an organization unfolds with time and that the learning process is highly integrated with the acquisition of knowledge and bettered performance. In this concern, efficacy and performance are viewed as the most critical factors that every learning organization values. </w:t>
      </w:r>
    </w:p>
    <w:p w:rsid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With the growing need for better technology, learning organization </w:t>
      </w:r>
      <w:r w:rsidR="00055E1E" w:rsidRPr="00BD34BE">
        <w:rPr>
          <w:rFonts w:ascii="Times New Roman" w:hAnsi="Times New Roman" w:cs="Times New Roman"/>
          <w:w w:val="105"/>
          <w:sz w:val="24"/>
          <w:szCs w:val="24"/>
          <w:lang w:eastAsia="en-GB"/>
        </w:rPr>
        <w:t>has</w:t>
      </w:r>
      <w:r w:rsidRPr="00BD34BE">
        <w:rPr>
          <w:rFonts w:ascii="Times New Roman" w:hAnsi="Times New Roman" w:cs="Times New Roman"/>
          <w:w w:val="105"/>
          <w:sz w:val="24"/>
          <w:szCs w:val="24"/>
          <w:lang w:eastAsia="en-GB"/>
        </w:rPr>
        <w:t xml:space="preserve"> expressed concern to advance in technology for better performance. Top performing learning organization</w:t>
      </w:r>
      <w:r w:rsidR="00055E1E">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have often launched improvement programs to substantiate their organizational excellence. However, advancement programs have been valuably challenged by failures in programs thus lowering advancement rate. For this reason, it is true that learning organization require total commitment to learning and imparting knowledge for continuous improvements. For improved performance and efficacy, learning organization must relentlessly chase excellence via group operating rules, share organizational goals, open communication and collaboration, effective conflict resolution, apparent role expectations and practicing a strong sense of transparency and accountability. Therefore, every learning organization has the potential to reach high levels of efficiency and performance as justified by the following discussion.</w:t>
      </w:r>
    </w:p>
    <w:p w:rsidR="00BD34BE" w:rsidRPr="00BD34BE" w:rsidRDefault="00BD34BE" w:rsidP="00BD34BE">
      <w:pPr>
        <w:spacing w:line="480" w:lineRule="auto"/>
        <w:ind w:firstLine="720"/>
        <w:rPr>
          <w:rFonts w:ascii="Times New Roman" w:hAnsi="Times New Roman" w:cs="Times New Roman"/>
          <w:w w:val="105"/>
          <w:sz w:val="24"/>
          <w:szCs w:val="24"/>
          <w:lang w:eastAsia="en-GB"/>
        </w:rPr>
      </w:pPr>
    </w:p>
    <w:p w:rsidR="00BD34BE" w:rsidRPr="00BD34BE" w:rsidRDefault="00BD34BE" w:rsidP="00BD34BE">
      <w:pPr>
        <w:spacing w:line="480" w:lineRule="auto"/>
        <w:ind w:firstLine="720"/>
        <w:jc w:val="center"/>
        <w:rPr>
          <w:rFonts w:ascii="Times New Roman" w:hAnsi="Times New Roman" w:cs="Times New Roman"/>
          <w:w w:val="105"/>
          <w:sz w:val="24"/>
          <w:szCs w:val="24"/>
          <w:lang w:eastAsia="en-GB"/>
        </w:rPr>
      </w:pPr>
      <w:r w:rsidRPr="00BD34BE">
        <w:rPr>
          <w:rFonts w:ascii="Times New Roman" w:hAnsi="Times New Roman" w:cs="Times New Roman"/>
          <w:b/>
          <w:w w:val="105"/>
          <w:sz w:val="24"/>
          <w:szCs w:val="24"/>
          <w:lang w:eastAsia="en-GB"/>
        </w:rPr>
        <w:lastRenderedPageBreak/>
        <w:t>Supporting Arguments and Facts</w:t>
      </w:r>
      <w:r w:rsidRPr="00BD34BE">
        <w:rPr>
          <w:rFonts w:ascii="Times New Roman" w:hAnsi="Times New Roman" w:cs="Times New Roman"/>
          <w:w w:val="105"/>
          <w:sz w:val="24"/>
          <w:szCs w:val="24"/>
          <w:lang w:eastAsia="en-GB"/>
        </w:rPr>
        <w:t>.</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Organizational Learning Theory.</w:t>
      </w:r>
    </w:p>
    <w:p w:rsidR="00055E1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As stated above, every learning organization has the potential to realize improved efficacy and performance as presented by different knowledge management tools. According to the Organizational Learning Theory; (learning organization perspective)</w:t>
      </w:r>
      <w:r w:rsidR="00055E1E">
        <w:rPr>
          <w:rFonts w:ascii="Times New Roman" w:hAnsi="Times New Roman" w:cs="Times New Roman"/>
          <w:w w:val="105"/>
          <w:sz w:val="24"/>
          <w:szCs w:val="24"/>
          <w:lang w:eastAsia="en-GB"/>
        </w:rPr>
        <w:t>,</w:t>
      </w:r>
      <w:r w:rsidRPr="00BD34BE">
        <w:rPr>
          <w:rFonts w:ascii="Times New Roman" w:hAnsi="Times New Roman" w:cs="Times New Roman"/>
          <w:w w:val="105"/>
          <w:sz w:val="24"/>
          <w:szCs w:val="24"/>
          <w:lang w:eastAsia="en-GB"/>
        </w:rPr>
        <w:t xml:space="preserve"> educational organization</w:t>
      </w:r>
      <w:r w:rsidR="00055E1E">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have the potential to better their performance through improving their knowledge acquisition practices, understanding and establishing a solution to any challenging material in the organization (Manning, 2017). The theory hints that learning organizations should keenly follow up the relationship between the actual outcome</w:t>
      </w:r>
      <w:r w:rsidR="00055E1E">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and the expected outcome</w:t>
      </w:r>
      <w:r w:rsidR="00055E1E">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Whenever the two aspects differ, an investigation should be deemed necessary to address this inconsistency through the accurate interaction of individuals within the organization. Organizational learning theory proponents explain that precise communication within an organization is essential for the high level of efficacy and perfo</w:t>
      </w:r>
      <w:r w:rsidR="00055E1E">
        <w:rPr>
          <w:rFonts w:ascii="Times New Roman" w:hAnsi="Times New Roman" w:cs="Times New Roman"/>
          <w:w w:val="105"/>
          <w:sz w:val="24"/>
          <w:szCs w:val="24"/>
          <w:lang w:eastAsia="en-GB"/>
        </w:rPr>
        <w:t xml:space="preserve">rmance. Organizations can assure learning by making sure </w:t>
      </w:r>
      <w:r w:rsidRPr="00BD34BE">
        <w:rPr>
          <w:rFonts w:ascii="Times New Roman" w:hAnsi="Times New Roman" w:cs="Times New Roman"/>
          <w:w w:val="105"/>
          <w:sz w:val="24"/>
          <w:szCs w:val="24"/>
          <w:lang w:eastAsia="en-GB"/>
        </w:rPr>
        <w:t xml:space="preserve">that their interaction goes beyond organizational procedures and rules concerning the theory approaches, that is, espoused theory approach and the theory-in-use approach. </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 According to Manning (2017), a learning organization can use the espoused theory approach to formalize organizational functioning. Arguably, the management can apply various rules to depict responsibilities of every employee. The administration should ensure that the outlined responsibilities are specific and focused on committing the individuals to predetermined goals. The theory-in-use approach tends to engage employees in their duties through a loose, social and a flowing way in which they can establish a solution to their </w:t>
      </w:r>
      <w:r w:rsidRPr="00BD34BE">
        <w:rPr>
          <w:rFonts w:ascii="Times New Roman" w:hAnsi="Times New Roman" w:cs="Times New Roman"/>
          <w:w w:val="105"/>
          <w:sz w:val="24"/>
          <w:szCs w:val="24"/>
          <w:lang w:eastAsia="en-GB"/>
        </w:rPr>
        <w:lastRenderedPageBreak/>
        <w:t xml:space="preserve">challenges and gain knowledge for better performance. Focusing on the application part of the organizational learning theory, the two approaches may be a bit conflicting, but the theory-in-use is more recommendable. For instance, for the university to exploit its potentials, the theory in use should be used to establish a remarkable learning environment. This would make it easy for teaching staff to interact with his working environment in an unstructured way and find a solution for problems. Again, this approach will allow for organization review to be conducted while identifying complex mechanisms and their solutions for better performance. </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From a structural perspective, the learning organization</w:t>
      </w:r>
      <w:r w:rsidR="00055E1E">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can diversify their potentials for efficiency and high performance by focus</w:t>
      </w:r>
      <w:r w:rsidR="00055E1E">
        <w:rPr>
          <w:rFonts w:ascii="Times New Roman" w:hAnsi="Times New Roman" w:cs="Times New Roman"/>
          <w:w w:val="105"/>
          <w:sz w:val="24"/>
          <w:szCs w:val="24"/>
          <w:lang w:eastAsia="en-GB"/>
        </w:rPr>
        <w:t>ing on the building blocks. These include;</w:t>
      </w:r>
      <w:r w:rsidRPr="00BD34BE">
        <w:rPr>
          <w:rFonts w:ascii="Times New Roman" w:hAnsi="Times New Roman" w:cs="Times New Roman"/>
          <w:w w:val="105"/>
          <w:sz w:val="24"/>
          <w:szCs w:val="24"/>
          <w:lang w:eastAsia="en-GB"/>
        </w:rPr>
        <w:t xml:space="preserve"> systematic problem solving, learning from other organizations (competitors), experimentation of new approaches, learning from experiences and practicing quick transfer of knowledge (Brewis, 2018). Each of these factors can be well integrated to exploit organizational potentials as discussed below. </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Systemic problem-solving.</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In the current era, every organization is faced with a list of activities which greatly challenge its operation and </w:t>
      </w:r>
      <w:r w:rsidR="00055E1E" w:rsidRPr="00BD34BE">
        <w:rPr>
          <w:rFonts w:ascii="Times New Roman" w:hAnsi="Times New Roman" w:cs="Times New Roman"/>
          <w:w w:val="105"/>
          <w:sz w:val="24"/>
          <w:szCs w:val="24"/>
          <w:lang w:eastAsia="en-GB"/>
        </w:rPr>
        <w:t>learning</w:t>
      </w:r>
      <w:r w:rsidRPr="00BD34BE">
        <w:rPr>
          <w:rFonts w:ascii="Times New Roman" w:hAnsi="Times New Roman" w:cs="Times New Roman"/>
          <w:w w:val="105"/>
          <w:sz w:val="24"/>
          <w:szCs w:val="24"/>
          <w:lang w:eastAsia="en-GB"/>
        </w:rPr>
        <w:t xml:space="preserve"> organizations are not exceptional. In this regard, learning organizations should pay considerable attention to philosophical methods of resolving conflicting issues and enhance quality movements. In this context, an organization can diversify its potentials by showing growing concern about scientific problem-solving mechanisms while avoiding guesswork. For an accurate diagnosis, the management can consider planning, crosschecking and taking the most reliable action towards curbing the </w:t>
      </w:r>
      <w:r w:rsidRPr="00BD34BE">
        <w:rPr>
          <w:rFonts w:ascii="Times New Roman" w:hAnsi="Times New Roman" w:cs="Times New Roman"/>
          <w:w w:val="105"/>
          <w:sz w:val="24"/>
          <w:szCs w:val="24"/>
          <w:lang w:eastAsia="en-GB"/>
        </w:rPr>
        <w:lastRenderedPageBreak/>
        <w:t>problem. The manager can consider insisting on data for precise decision making. Moreover, a learning organization can apply simple statistical tools such as cause-and-effect diagram to organize data and make conclusions. Majority of learning organization rely on exercise and practical example techniques to address their institutional problems. However, these practices have been deemed inefficient, and hence employees must show greater concern by conducting in-depth research on the leading causes of problems in the learning organization and making the exact inferences. Accurate and precise problem-solving mechanisms will help the learning organization to discover increased efficiency and higher levels of performance.</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Experimentation.</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Experimentation is another significant approach for optimizing efficiency and performance in a learning organization. Learning organizations can execute this by conducting methodical searching as well as testing of knowledge. Through this approach, learning organizations should be motivated by the opportunity to expand their horizons for bettered performance. Learning organizations can experiment their performance through ongoing programs and demonstration projects. Through ongoing programs, a learning organization can engage in continued experimentation in a manner that will provide an incremental gain of knowledge. </w:t>
      </w:r>
      <w:r w:rsidR="00055E1E" w:rsidRPr="00BD34BE">
        <w:rPr>
          <w:rFonts w:ascii="Times New Roman" w:hAnsi="Times New Roman" w:cs="Times New Roman"/>
          <w:w w:val="105"/>
          <w:sz w:val="24"/>
          <w:szCs w:val="24"/>
          <w:lang w:eastAsia="en-GB"/>
        </w:rPr>
        <w:t>Through experimentation, learning organization</w:t>
      </w:r>
      <w:r w:rsidR="00055E1E">
        <w:rPr>
          <w:rFonts w:ascii="Times New Roman" w:hAnsi="Times New Roman" w:cs="Times New Roman"/>
          <w:w w:val="105"/>
          <w:sz w:val="24"/>
          <w:szCs w:val="24"/>
          <w:lang w:eastAsia="en-GB"/>
        </w:rPr>
        <w:t>s</w:t>
      </w:r>
      <w:r w:rsidR="00055E1E" w:rsidRPr="00BD34BE">
        <w:rPr>
          <w:rFonts w:ascii="Times New Roman" w:hAnsi="Times New Roman" w:cs="Times New Roman"/>
          <w:w w:val="105"/>
          <w:sz w:val="24"/>
          <w:szCs w:val="24"/>
          <w:lang w:eastAsia="en-GB"/>
        </w:rPr>
        <w:t xml:space="preserve"> have the potential to conduct improvement programs. </w:t>
      </w:r>
      <w:r w:rsidRPr="00BD34BE">
        <w:rPr>
          <w:rFonts w:ascii="Times New Roman" w:hAnsi="Times New Roman" w:cs="Times New Roman"/>
          <w:w w:val="105"/>
          <w:sz w:val="24"/>
          <w:szCs w:val="24"/>
          <w:lang w:eastAsia="en-GB"/>
        </w:rPr>
        <w:t xml:space="preserve">For example, in colleges, timely interviews, institutional research and result analysis will enable the new stiffing mechanisms for better learning outcomes. Continuous experimentation provides a basis for new rolling methodologies and advanced technology to raise efficiency and performance at a minimized </w:t>
      </w:r>
      <w:r w:rsidRPr="00BD34BE">
        <w:rPr>
          <w:rFonts w:ascii="Times New Roman" w:hAnsi="Times New Roman" w:cs="Times New Roman"/>
          <w:w w:val="105"/>
          <w:sz w:val="24"/>
          <w:szCs w:val="24"/>
          <w:lang w:eastAsia="en-GB"/>
        </w:rPr>
        <w:lastRenderedPageBreak/>
        <w:t xml:space="preserve">cost. Additionally, quality performance from ongoing programs demands </w:t>
      </w:r>
      <w:r w:rsidR="00055E1E" w:rsidRPr="00BD34BE">
        <w:rPr>
          <w:rFonts w:ascii="Times New Roman" w:hAnsi="Times New Roman" w:cs="Times New Roman"/>
          <w:w w:val="105"/>
          <w:sz w:val="24"/>
          <w:szCs w:val="24"/>
          <w:lang w:eastAsia="en-GB"/>
        </w:rPr>
        <w:t>incentive practices which encourage</w:t>
      </w:r>
      <w:r w:rsidRPr="00BD34BE">
        <w:rPr>
          <w:rFonts w:ascii="Times New Roman" w:hAnsi="Times New Roman" w:cs="Times New Roman"/>
          <w:w w:val="105"/>
          <w:sz w:val="24"/>
          <w:szCs w:val="24"/>
          <w:lang w:eastAsia="en-GB"/>
        </w:rPr>
        <w:t xml:space="preserve"> risk-taking approaches. Staffs must be motivated to give a feeling that importance of experimentation exceeds the cost. Managers must practice accountability for improved management while encouraging creativity for better performances. </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Through demonstration projects, organizations can adopt holistic and system-wide transitions motivated by the desires to advance organizational abilities. This practice should encourage high levels of worker autonomy and introduce the notion of self-monitoring teams for efficiency.</w:t>
      </w:r>
    </w:p>
    <w:p w:rsidR="00BD34BE" w:rsidRPr="00BD34BE" w:rsidRDefault="00BD34BE" w:rsidP="00BD34BE">
      <w:pPr>
        <w:spacing w:line="480" w:lineRule="auto"/>
        <w:ind w:firstLine="720"/>
        <w:jc w:val="center"/>
        <w:rPr>
          <w:rFonts w:ascii="Times New Roman" w:hAnsi="Times New Roman" w:cs="Times New Roman"/>
          <w:w w:val="105"/>
          <w:sz w:val="24"/>
          <w:szCs w:val="24"/>
          <w:lang w:eastAsia="en-GB"/>
        </w:rPr>
      </w:pPr>
      <w:r w:rsidRPr="00BD34BE">
        <w:rPr>
          <w:rFonts w:ascii="Times New Roman" w:hAnsi="Times New Roman" w:cs="Times New Roman"/>
          <w:b/>
          <w:w w:val="105"/>
          <w:sz w:val="24"/>
          <w:szCs w:val="24"/>
          <w:lang w:eastAsia="en-GB"/>
        </w:rPr>
        <w:t>Learning from the past encounters</w:t>
      </w:r>
      <w:r w:rsidRPr="00BD34BE">
        <w:rPr>
          <w:rFonts w:ascii="Times New Roman" w:hAnsi="Times New Roman" w:cs="Times New Roman"/>
          <w:w w:val="105"/>
          <w:sz w:val="24"/>
          <w:szCs w:val="24"/>
          <w:lang w:eastAsia="en-GB"/>
        </w:rPr>
        <w:t>.</w:t>
      </w:r>
    </w:p>
    <w:p w:rsidR="000C2131"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For learning organizations to diversify their performance, they must ensure accurate analysis of their previous experiences in operation. This entails investigating their success as well as failures and recording lessons attached which the staff find open and accessible. According to George, “managers who cannot recall their past organizational experiences are prone to repetition of the same errors.” Arguably, too many managers appear to be quite indifferent and hostile to their previous encounters, a factor which hinders them from reflecting on it hence leaving behind valuable knowledge. </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Murphy et al. (2018)</w:t>
      </w:r>
      <w:r w:rsidR="000C2131">
        <w:rPr>
          <w:rFonts w:ascii="Times New Roman" w:hAnsi="Times New Roman" w:cs="Times New Roman"/>
          <w:w w:val="105"/>
          <w:sz w:val="24"/>
          <w:szCs w:val="24"/>
          <w:lang w:eastAsia="en-GB"/>
        </w:rPr>
        <w:t>,</w:t>
      </w:r>
      <w:r w:rsidRPr="00BD34BE">
        <w:rPr>
          <w:rFonts w:ascii="Times New Roman" w:hAnsi="Times New Roman" w:cs="Times New Roman"/>
          <w:w w:val="105"/>
          <w:sz w:val="24"/>
          <w:szCs w:val="24"/>
          <w:lang w:eastAsia="en-GB"/>
        </w:rPr>
        <w:t xml:space="preserve"> explained that knowledge acquired from weaknesses and failures is very beneficial for subsequent success. For instance, the IBM’s 360 computer series is one of the most successful products whose competence was based on technology gained from failures of the Stretch device that preceded it (Shin &amp; Konrad, 2017). In essence, learning in organizations occurs by chance and not by careful planning. In this </w:t>
      </w:r>
      <w:r w:rsidRPr="00BD34BE">
        <w:rPr>
          <w:rFonts w:ascii="Times New Roman" w:hAnsi="Times New Roman" w:cs="Times New Roman"/>
          <w:w w:val="105"/>
          <w:sz w:val="24"/>
          <w:szCs w:val="24"/>
          <w:lang w:eastAsia="en-GB"/>
        </w:rPr>
        <w:lastRenderedPageBreak/>
        <w:t>regard, it is recommendable that managers should take a bright look to their encounters periodically, identify their faults and learn from them for better performance.</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Arguably, the learning process does not need to be so costly. Managers and supporting staff can ensure learning in the organization through post project and case studies reviews which are both cost-effective and time-saving. The organization can also seek accurate assistance from students and faculty from nearby universities (Nason &amp; Wiklund, 2018). This will bring about fresh perspectives and suggest case studies and internships as the only chances to encourage experience and boost organizational learning. For this reason, an apparent reflection of the past encounters within an organization is an avid cause of improved efficiency and performance in the entire organization.  </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Learning from others.</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Interestingly, self-analysis and reflection is an excellent source of organizational success, but it does not provide complete support. For that reason, it can be supplemented by examining other organizations experiences. This calls for a significant insight for the management to focus on immediate neighbors for new perspectives. Qualified managers have the understanding that enterprises and companies from different fields can serve as rich sources of knowledge and motivations for creative reasoning. Therefore, organizational can learn from each other and borrow ideas to exploit their potentials for quality performance in a process called enthusiastic borrowing (Nason &amp; Wiklund, 2018). Recently, benchmarks have been conducted to investigate the efficiency of borrowing operation practices. This is by examining on how the most appropriate organizational practices can be identified, interpreted and implemented. The most important aspect of analysis in other organizations </w:t>
      </w:r>
      <w:r w:rsidRPr="00BD34BE">
        <w:rPr>
          <w:rFonts w:ascii="Times New Roman" w:hAnsi="Times New Roman" w:cs="Times New Roman"/>
          <w:w w:val="105"/>
          <w:sz w:val="24"/>
          <w:szCs w:val="24"/>
          <w:lang w:eastAsia="en-GB"/>
        </w:rPr>
        <w:lastRenderedPageBreak/>
        <w:t>methods is to discover how operations are conducted other than focusing on the results. For instance, Xerox concept creator used it in warehousing, billing and automated manufacturing. Milliken then borrowed the same knowledge but used it more creatively in an inspired moment, and it benchmarked Xerox’s approach to benchmarking (Murphy et al., 2018). In this context, it is true that benchmarking is the best way for an institution to gain knowledge from others. Moreover, customers can avail competitive analysis and generate instant feedback concerning services offered in different organizations. This comparison, however, provides insights into varying levels of the organization and hence establishing a basis for remarkable changes. Additionally, managers should diversify organizational competency by cultivating the art of open and attentive listening. Managers should take time and listen to criticisms for betterment. This is because learning from abundant outside sources requires receptive surrounding for accurate understanding. Although the receptive environment is challenging to offer, it is quite essential for business success. Therefore, learning organizations must practice the art of open and responsive environment to learn their potentials and take necessary decisions for efficiency and quality performance.</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Transferring knowledge.</w:t>
      </w:r>
    </w:p>
    <w:p w:rsidR="000C2131"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Ideally, rapid dissemination of knowledge within the organization is more significant for organizational operation. Arguably, notions have far-reaching consequences within the organization when they are transferred broadly than when spread in few hands. Multiple mechanisms support rapid sharing of </w:t>
      </w:r>
      <w:r w:rsidR="000C2131" w:rsidRPr="00BD34BE">
        <w:rPr>
          <w:rFonts w:ascii="Times New Roman" w:hAnsi="Times New Roman" w:cs="Times New Roman"/>
          <w:w w:val="105"/>
          <w:sz w:val="24"/>
          <w:szCs w:val="24"/>
          <w:lang w:eastAsia="en-GB"/>
        </w:rPr>
        <w:t>knowledge</w:t>
      </w:r>
      <w:r w:rsidRPr="00BD34BE">
        <w:rPr>
          <w:rFonts w:ascii="Times New Roman" w:hAnsi="Times New Roman" w:cs="Times New Roman"/>
          <w:w w:val="105"/>
          <w:sz w:val="24"/>
          <w:szCs w:val="24"/>
          <w:lang w:eastAsia="en-GB"/>
        </w:rPr>
        <w:t xml:space="preserve"> and these include oral, written and visual reports, education and training schedules as well as standardization mechanisms (Murphy et al., 2018). Technically, learning organizations should prioritize reports for technology </w:t>
      </w:r>
      <w:r w:rsidRPr="00BD34BE">
        <w:rPr>
          <w:rFonts w:ascii="Times New Roman" w:hAnsi="Times New Roman" w:cs="Times New Roman"/>
          <w:w w:val="105"/>
          <w:sz w:val="24"/>
          <w:szCs w:val="24"/>
          <w:lang w:eastAsia="en-GB"/>
        </w:rPr>
        <w:lastRenderedPageBreak/>
        <w:t>transfers. This is because they offer accurate findings, define essential processes and events and also provide a list of do</w:t>
      </w:r>
      <w:r w:rsidR="000C2131">
        <w:rPr>
          <w:rFonts w:ascii="Times New Roman" w:hAnsi="Times New Roman" w:cs="Times New Roman"/>
          <w:w w:val="105"/>
          <w:sz w:val="24"/>
          <w:szCs w:val="24"/>
          <w:lang w:eastAsia="en-GB"/>
        </w:rPr>
        <w:t>’</w:t>
      </w:r>
      <w:r w:rsidRPr="00BD34BE">
        <w:rPr>
          <w:rFonts w:ascii="Times New Roman" w:hAnsi="Times New Roman" w:cs="Times New Roman"/>
          <w:w w:val="105"/>
          <w:sz w:val="24"/>
          <w:szCs w:val="24"/>
          <w:lang w:eastAsia="en-GB"/>
        </w:rPr>
        <w:t xml:space="preserve">s and don’ts when adopting the transferred technology. More importantly, reports examine a wide range of topics through benchmarking and accounting resolutions for the trending marketing tactics. For that reason, reports are more reliable than other sources of data collection. In this regard, learning organizations have the potential to achieve higher levels efficiency and performance through technology transfers. For example, a line of staff transfers is more practical in transferring knowledge in organizations. </w:t>
      </w:r>
    </w:p>
    <w:p w:rsidR="00BD34BE" w:rsidRPr="00BD34BE"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 xml:space="preserve">Arguably, learning organizations should allow expertise managers to offer their experiences and spread it across the entire organization employing modernized standards, training programs and policies. One of the prominent examples is PPG industries that used simple knowledge transfer mechanism’s to optimize its human resource by adopting the high commitment work system concepts. The firm implemented new technologies and innovations to its human resource department to bring about a more formalized operation within the enterprise hence creating a chance for higher efficiency and performance. </w:t>
      </w:r>
    </w:p>
    <w:p w:rsidR="00BD34BE" w:rsidRPr="00BD34BE" w:rsidRDefault="00BD34BE" w:rsidP="00BD34BE">
      <w:pPr>
        <w:spacing w:line="480" w:lineRule="auto"/>
        <w:ind w:firstLine="720"/>
        <w:jc w:val="center"/>
        <w:rPr>
          <w:rFonts w:ascii="Times New Roman" w:hAnsi="Times New Roman" w:cs="Times New Roman"/>
          <w:b/>
          <w:w w:val="105"/>
          <w:sz w:val="24"/>
          <w:szCs w:val="24"/>
          <w:lang w:eastAsia="en-GB"/>
        </w:rPr>
      </w:pPr>
      <w:r w:rsidRPr="00BD34BE">
        <w:rPr>
          <w:rFonts w:ascii="Times New Roman" w:hAnsi="Times New Roman" w:cs="Times New Roman"/>
          <w:b/>
          <w:w w:val="105"/>
          <w:sz w:val="24"/>
          <w:szCs w:val="24"/>
          <w:lang w:eastAsia="en-GB"/>
        </w:rPr>
        <w:t>Conclusion.</w:t>
      </w:r>
    </w:p>
    <w:p w:rsidR="00F23197" w:rsidRDefault="00BD34BE" w:rsidP="00BD34BE">
      <w:pPr>
        <w:spacing w:line="480" w:lineRule="auto"/>
        <w:ind w:firstLine="720"/>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To sum up, it is evident that learning organization</w:t>
      </w:r>
      <w:r w:rsidR="000C2131">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have the potential to improve their efficiency and performance in different ways. According to Organizational Learning theory, a learning organization can apply either espoused approach or the theory-in-use model to execute their potentials. More significantly, organizational building blocks are crucial for enhancing knowledge in the learning organizations. Learning organization should pay close attention to the transfer of technology, learning from the pays experiences and </w:t>
      </w:r>
      <w:r w:rsidRPr="00BD34BE">
        <w:rPr>
          <w:rFonts w:ascii="Times New Roman" w:hAnsi="Times New Roman" w:cs="Times New Roman"/>
          <w:w w:val="105"/>
          <w:sz w:val="24"/>
          <w:szCs w:val="24"/>
          <w:lang w:eastAsia="en-GB"/>
        </w:rPr>
        <w:lastRenderedPageBreak/>
        <w:t>history, and learning from others. Moreover, systemic problem solving is more efficient for utilizing firm’s potentials. For that reason, managers and supporting staffs in any learning organization must practice the culture of open and attentive listening to any outside source of knowledge. Learning organizations should willingly establish a receptive environment which is open to criticisms and benchmarking practices. Moreover, managers should thoughtfully reflect the organizational encounters of success and failures for correct inference of desired changes for better per</w:t>
      </w:r>
      <w:r w:rsidR="000C2131">
        <w:rPr>
          <w:rFonts w:ascii="Times New Roman" w:hAnsi="Times New Roman" w:cs="Times New Roman"/>
          <w:w w:val="105"/>
          <w:sz w:val="24"/>
          <w:szCs w:val="24"/>
          <w:lang w:eastAsia="en-GB"/>
        </w:rPr>
        <w:t>formance. Additional research</w:t>
      </w:r>
      <w:r w:rsidRPr="00BD34BE">
        <w:rPr>
          <w:rFonts w:ascii="Times New Roman" w:hAnsi="Times New Roman" w:cs="Times New Roman"/>
          <w:w w:val="105"/>
          <w:sz w:val="24"/>
          <w:szCs w:val="24"/>
          <w:lang w:eastAsia="en-GB"/>
        </w:rPr>
        <w:t xml:space="preserve"> should be deemed necessary for discovering </w:t>
      </w:r>
      <w:r w:rsidR="000C2131">
        <w:rPr>
          <w:rFonts w:ascii="Times New Roman" w:hAnsi="Times New Roman" w:cs="Times New Roman"/>
          <w:w w:val="105"/>
          <w:sz w:val="24"/>
          <w:szCs w:val="24"/>
          <w:lang w:eastAsia="en-GB"/>
        </w:rPr>
        <w:t xml:space="preserve">the </w:t>
      </w:r>
      <w:r w:rsidRPr="00BD34BE">
        <w:rPr>
          <w:rFonts w:ascii="Times New Roman" w:hAnsi="Times New Roman" w:cs="Times New Roman"/>
          <w:w w:val="105"/>
          <w:sz w:val="24"/>
          <w:szCs w:val="24"/>
          <w:lang w:eastAsia="en-GB"/>
        </w:rPr>
        <w:t>do</w:t>
      </w:r>
      <w:r w:rsidR="000C2131">
        <w:rPr>
          <w:rFonts w:ascii="Times New Roman" w:hAnsi="Times New Roman" w:cs="Times New Roman"/>
          <w:w w:val="105"/>
          <w:sz w:val="24"/>
          <w:szCs w:val="24"/>
          <w:lang w:eastAsia="en-GB"/>
        </w:rPr>
        <w:t>’</w:t>
      </w:r>
      <w:r w:rsidRPr="00BD34BE">
        <w:rPr>
          <w:rFonts w:ascii="Times New Roman" w:hAnsi="Times New Roman" w:cs="Times New Roman"/>
          <w:w w:val="105"/>
          <w:sz w:val="24"/>
          <w:szCs w:val="24"/>
          <w:lang w:eastAsia="en-GB"/>
        </w:rPr>
        <w:t xml:space="preserve">s and don’ts while copying external knowledge. </w:t>
      </w:r>
      <w:r w:rsidR="000C2131">
        <w:rPr>
          <w:rFonts w:ascii="Times New Roman" w:hAnsi="Times New Roman" w:cs="Times New Roman"/>
          <w:w w:val="105"/>
          <w:sz w:val="24"/>
          <w:szCs w:val="24"/>
          <w:lang w:eastAsia="en-GB"/>
        </w:rPr>
        <w:t>In addition, l</w:t>
      </w:r>
      <w:r w:rsidRPr="00BD34BE">
        <w:rPr>
          <w:rFonts w:ascii="Times New Roman" w:hAnsi="Times New Roman" w:cs="Times New Roman"/>
          <w:w w:val="105"/>
          <w:sz w:val="24"/>
          <w:szCs w:val="24"/>
          <w:lang w:eastAsia="en-GB"/>
        </w:rPr>
        <w:t>earning organization</w:t>
      </w:r>
      <w:r w:rsidR="000C2131">
        <w:rPr>
          <w:rFonts w:ascii="Times New Roman" w:hAnsi="Times New Roman" w:cs="Times New Roman"/>
          <w:w w:val="105"/>
          <w:sz w:val="24"/>
          <w:szCs w:val="24"/>
          <w:lang w:eastAsia="en-GB"/>
        </w:rPr>
        <w:t>s</w:t>
      </w:r>
      <w:r w:rsidRPr="00BD34BE">
        <w:rPr>
          <w:rFonts w:ascii="Times New Roman" w:hAnsi="Times New Roman" w:cs="Times New Roman"/>
          <w:w w:val="105"/>
          <w:sz w:val="24"/>
          <w:szCs w:val="24"/>
          <w:lang w:eastAsia="en-GB"/>
        </w:rPr>
        <w:t xml:space="preserve"> must declare their interests in utilizing their potentials for higher levels of efficiency and performance.</w:t>
      </w: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BD34BE" w:rsidRDefault="00BD34BE" w:rsidP="00BD34BE">
      <w:pPr>
        <w:spacing w:line="480" w:lineRule="auto"/>
        <w:ind w:firstLine="720"/>
        <w:rPr>
          <w:rFonts w:ascii="Times New Roman" w:hAnsi="Times New Roman" w:cs="Times New Roman"/>
          <w:w w:val="105"/>
          <w:sz w:val="24"/>
          <w:szCs w:val="24"/>
          <w:lang w:eastAsia="en-GB"/>
        </w:rPr>
      </w:pPr>
    </w:p>
    <w:p w:rsidR="00F23197" w:rsidRPr="00BD34BE" w:rsidRDefault="00F23197" w:rsidP="00BD34BE">
      <w:pPr>
        <w:spacing w:line="480" w:lineRule="auto"/>
        <w:rPr>
          <w:rFonts w:ascii="Times New Roman" w:hAnsi="Times New Roman" w:cs="Times New Roman"/>
          <w:w w:val="105"/>
          <w:sz w:val="24"/>
          <w:szCs w:val="24"/>
          <w:lang w:eastAsia="en-GB"/>
        </w:rPr>
      </w:pPr>
    </w:p>
    <w:p w:rsidR="00BD34BE" w:rsidRPr="00BD34BE" w:rsidRDefault="003D6FEA" w:rsidP="00BD34BE">
      <w:pPr>
        <w:spacing w:line="480" w:lineRule="auto"/>
        <w:jc w:val="cente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lastRenderedPageBreak/>
        <w:t>References.</w:t>
      </w:r>
    </w:p>
    <w:p w:rsidR="00BD34BE" w:rsidRPr="00BD34BE" w:rsidRDefault="00BD34BE" w:rsidP="000C2131">
      <w:pPr>
        <w:spacing w:line="480" w:lineRule="auto"/>
        <w:ind w:left="720" w:hanging="720"/>
        <w:rPr>
          <w:rFonts w:ascii="Times New Roman" w:hAnsi="Times New Roman" w:cs="Times New Roman"/>
          <w:color w:val="222222"/>
          <w:sz w:val="24"/>
          <w:szCs w:val="24"/>
          <w:shd w:val="clear" w:color="auto" w:fill="FFFFFF"/>
        </w:rPr>
      </w:pPr>
      <w:r w:rsidRPr="00BD34BE">
        <w:rPr>
          <w:rFonts w:ascii="Times New Roman" w:hAnsi="Times New Roman" w:cs="Times New Roman"/>
          <w:color w:val="222222"/>
          <w:sz w:val="24"/>
          <w:szCs w:val="24"/>
          <w:shd w:val="clear" w:color="auto" w:fill="FFFFFF"/>
        </w:rPr>
        <w:t>Brewis, J. (2018). On interference, collegiality and co-authorship: Peer review of journal articles in management and organization studies. </w:t>
      </w:r>
      <w:r w:rsidRPr="00BD34BE">
        <w:rPr>
          <w:rFonts w:ascii="Times New Roman" w:hAnsi="Times New Roman" w:cs="Times New Roman"/>
          <w:i/>
          <w:iCs/>
          <w:color w:val="222222"/>
          <w:sz w:val="24"/>
          <w:szCs w:val="24"/>
          <w:shd w:val="clear" w:color="auto" w:fill="FFFFFF"/>
        </w:rPr>
        <w:t>Organization</w:t>
      </w:r>
      <w:r w:rsidRPr="00BD34BE">
        <w:rPr>
          <w:rFonts w:ascii="Times New Roman" w:hAnsi="Times New Roman" w:cs="Times New Roman"/>
          <w:color w:val="222222"/>
          <w:sz w:val="24"/>
          <w:szCs w:val="24"/>
          <w:shd w:val="clear" w:color="auto" w:fill="FFFFFF"/>
        </w:rPr>
        <w:t>, </w:t>
      </w:r>
      <w:r w:rsidRPr="00BD34BE">
        <w:rPr>
          <w:rFonts w:ascii="Times New Roman" w:hAnsi="Times New Roman" w:cs="Times New Roman"/>
          <w:i/>
          <w:iCs/>
          <w:color w:val="222222"/>
          <w:sz w:val="24"/>
          <w:szCs w:val="24"/>
          <w:shd w:val="clear" w:color="auto" w:fill="FFFFFF"/>
        </w:rPr>
        <w:t>25</w:t>
      </w:r>
      <w:r w:rsidRPr="00BD34BE">
        <w:rPr>
          <w:rFonts w:ascii="Times New Roman" w:hAnsi="Times New Roman" w:cs="Times New Roman"/>
          <w:color w:val="222222"/>
          <w:sz w:val="24"/>
          <w:szCs w:val="24"/>
          <w:shd w:val="clear" w:color="auto" w:fill="FFFFFF"/>
        </w:rPr>
        <w:t>(1), 21-41.</w:t>
      </w:r>
    </w:p>
    <w:p w:rsidR="00BD34BE" w:rsidRPr="00BD34BE" w:rsidRDefault="00BD34BE" w:rsidP="000C2131">
      <w:pPr>
        <w:spacing w:line="480" w:lineRule="auto"/>
        <w:ind w:left="720" w:hanging="720"/>
        <w:rPr>
          <w:rFonts w:ascii="Times New Roman" w:hAnsi="Times New Roman" w:cs="Times New Roman"/>
          <w:b/>
          <w:w w:val="105"/>
          <w:sz w:val="24"/>
          <w:szCs w:val="24"/>
          <w:lang w:eastAsia="en-GB"/>
        </w:rPr>
      </w:pPr>
      <w:r w:rsidRPr="00BD34BE">
        <w:rPr>
          <w:rFonts w:ascii="Times New Roman" w:hAnsi="Times New Roman" w:cs="Times New Roman"/>
          <w:color w:val="222222"/>
          <w:sz w:val="24"/>
          <w:szCs w:val="24"/>
          <w:shd w:val="clear" w:color="auto" w:fill="FFFFFF"/>
        </w:rPr>
        <w:t>Manning, K. (2017). </w:t>
      </w:r>
      <w:r w:rsidRPr="00BD34BE">
        <w:rPr>
          <w:rFonts w:ascii="Times New Roman" w:hAnsi="Times New Roman" w:cs="Times New Roman"/>
          <w:i/>
          <w:iCs/>
          <w:color w:val="222222"/>
          <w:sz w:val="24"/>
          <w:szCs w:val="24"/>
          <w:shd w:val="clear" w:color="auto" w:fill="FFFFFF"/>
        </w:rPr>
        <w:t>Organizational theory in higher education</w:t>
      </w:r>
      <w:r w:rsidRPr="00BD34BE">
        <w:rPr>
          <w:rFonts w:ascii="Times New Roman" w:hAnsi="Times New Roman" w:cs="Times New Roman"/>
          <w:color w:val="222222"/>
          <w:sz w:val="24"/>
          <w:szCs w:val="24"/>
          <w:shd w:val="clear" w:color="auto" w:fill="FFFFFF"/>
        </w:rPr>
        <w:t>. Routledge.</w:t>
      </w:r>
    </w:p>
    <w:p w:rsidR="00BD34BE" w:rsidRPr="00BD34BE" w:rsidRDefault="00BD34BE" w:rsidP="000C2131">
      <w:pPr>
        <w:spacing w:line="480" w:lineRule="auto"/>
        <w:ind w:left="720" w:hanging="720"/>
        <w:rPr>
          <w:rFonts w:ascii="Times New Roman" w:hAnsi="Times New Roman" w:cs="Times New Roman"/>
          <w:color w:val="222222"/>
          <w:sz w:val="24"/>
          <w:szCs w:val="24"/>
          <w:shd w:val="clear" w:color="auto" w:fill="FFFFFF"/>
        </w:rPr>
      </w:pPr>
      <w:r w:rsidRPr="00BD34BE">
        <w:rPr>
          <w:rFonts w:ascii="Times New Roman" w:hAnsi="Times New Roman" w:cs="Times New Roman"/>
          <w:color w:val="222222"/>
          <w:sz w:val="24"/>
          <w:szCs w:val="24"/>
          <w:shd w:val="clear" w:color="auto" w:fill="FFFFFF"/>
        </w:rPr>
        <w:t>Murphy, K., Torres, E., Ingram, W., &amp; Hutchinson, J. (2018). Review of high performance work practices (HPWPs) literature and recommendations for future research in the hospitality industry. </w:t>
      </w:r>
      <w:r w:rsidRPr="00BD34BE">
        <w:rPr>
          <w:rFonts w:ascii="Times New Roman" w:hAnsi="Times New Roman" w:cs="Times New Roman"/>
          <w:i/>
          <w:iCs/>
          <w:color w:val="222222"/>
          <w:sz w:val="24"/>
          <w:szCs w:val="24"/>
          <w:shd w:val="clear" w:color="auto" w:fill="FFFFFF"/>
        </w:rPr>
        <w:t>International Journal of Contemporary Hospitality Management</w:t>
      </w:r>
      <w:r w:rsidRPr="00BD34BE">
        <w:rPr>
          <w:rFonts w:ascii="Times New Roman" w:hAnsi="Times New Roman" w:cs="Times New Roman"/>
          <w:color w:val="222222"/>
          <w:sz w:val="24"/>
          <w:szCs w:val="24"/>
          <w:shd w:val="clear" w:color="auto" w:fill="FFFFFF"/>
        </w:rPr>
        <w:t>, (just-accepted), 00-00.</w:t>
      </w:r>
    </w:p>
    <w:p w:rsidR="00BD34BE" w:rsidRPr="00BD34BE" w:rsidRDefault="00BD34BE" w:rsidP="000C2131">
      <w:pPr>
        <w:spacing w:line="480" w:lineRule="auto"/>
        <w:ind w:left="720" w:hanging="720"/>
        <w:rPr>
          <w:rFonts w:ascii="Times New Roman" w:hAnsi="Times New Roman" w:cs="Times New Roman"/>
          <w:color w:val="222222"/>
          <w:sz w:val="24"/>
          <w:szCs w:val="24"/>
          <w:shd w:val="clear" w:color="auto" w:fill="FFFFFF"/>
        </w:rPr>
      </w:pPr>
      <w:r w:rsidRPr="00BD34BE">
        <w:rPr>
          <w:rFonts w:ascii="Times New Roman" w:hAnsi="Times New Roman" w:cs="Times New Roman"/>
          <w:color w:val="222222"/>
          <w:sz w:val="24"/>
          <w:szCs w:val="24"/>
          <w:shd w:val="clear" w:color="auto" w:fill="FFFFFF"/>
        </w:rPr>
        <w:t>Nason, R. S., &amp; Wiklund, J. (2018). An assessment of resource-based theorizing on firm growth and suggestions for the future. </w:t>
      </w:r>
      <w:r w:rsidRPr="00BD34BE">
        <w:rPr>
          <w:rFonts w:ascii="Times New Roman" w:hAnsi="Times New Roman" w:cs="Times New Roman"/>
          <w:i/>
          <w:iCs/>
          <w:color w:val="222222"/>
          <w:sz w:val="24"/>
          <w:szCs w:val="24"/>
          <w:shd w:val="clear" w:color="auto" w:fill="FFFFFF"/>
        </w:rPr>
        <w:t>Journal of Management</w:t>
      </w:r>
      <w:r w:rsidRPr="00BD34BE">
        <w:rPr>
          <w:rFonts w:ascii="Times New Roman" w:hAnsi="Times New Roman" w:cs="Times New Roman"/>
          <w:color w:val="222222"/>
          <w:sz w:val="24"/>
          <w:szCs w:val="24"/>
          <w:shd w:val="clear" w:color="auto" w:fill="FFFFFF"/>
        </w:rPr>
        <w:t>, </w:t>
      </w:r>
      <w:r w:rsidRPr="00BD34BE">
        <w:rPr>
          <w:rFonts w:ascii="Times New Roman" w:hAnsi="Times New Roman" w:cs="Times New Roman"/>
          <w:i/>
          <w:iCs/>
          <w:color w:val="222222"/>
          <w:sz w:val="24"/>
          <w:szCs w:val="24"/>
          <w:shd w:val="clear" w:color="auto" w:fill="FFFFFF"/>
        </w:rPr>
        <w:t>44</w:t>
      </w:r>
      <w:r w:rsidRPr="00BD34BE">
        <w:rPr>
          <w:rFonts w:ascii="Times New Roman" w:hAnsi="Times New Roman" w:cs="Times New Roman"/>
          <w:color w:val="222222"/>
          <w:sz w:val="24"/>
          <w:szCs w:val="24"/>
          <w:shd w:val="clear" w:color="auto" w:fill="FFFFFF"/>
        </w:rPr>
        <w:t>(1), 32-60.</w:t>
      </w:r>
    </w:p>
    <w:p w:rsidR="00BD34BE" w:rsidRPr="00BD34BE" w:rsidRDefault="00BD34BE" w:rsidP="000C2131">
      <w:pPr>
        <w:spacing w:line="480" w:lineRule="auto"/>
        <w:ind w:left="720" w:hanging="720"/>
        <w:rPr>
          <w:rFonts w:ascii="Times New Roman" w:hAnsi="Times New Roman" w:cs="Times New Roman"/>
          <w:color w:val="222222"/>
          <w:sz w:val="24"/>
          <w:szCs w:val="24"/>
          <w:shd w:val="clear" w:color="auto" w:fill="FFFFFF"/>
        </w:rPr>
      </w:pPr>
      <w:r w:rsidRPr="00BD34BE">
        <w:rPr>
          <w:rFonts w:ascii="Times New Roman" w:hAnsi="Times New Roman" w:cs="Times New Roman"/>
          <w:color w:val="222222"/>
          <w:sz w:val="24"/>
          <w:szCs w:val="24"/>
          <w:shd w:val="clear" w:color="auto" w:fill="FFFFFF"/>
        </w:rPr>
        <w:t>Shin, D., &amp; Konrad, A. M. (2017). Causality between high-performance work systems and organizational performance. </w:t>
      </w:r>
      <w:r w:rsidRPr="00BD34BE">
        <w:rPr>
          <w:rFonts w:ascii="Times New Roman" w:hAnsi="Times New Roman" w:cs="Times New Roman"/>
          <w:i/>
          <w:iCs/>
          <w:color w:val="222222"/>
          <w:sz w:val="24"/>
          <w:szCs w:val="24"/>
          <w:shd w:val="clear" w:color="auto" w:fill="FFFFFF"/>
        </w:rPr>
        <w:t>Journa</w:t>
      </w:r>
      <w:bookmarkStart w:id="0" w:name="_GoBack"/>
      <w:bookmarkEnd w:id="0"/>
      <w:r w:rsidRPr="00BD34BE">
        <w:rPr>
          <w:rFonts w:ascii="Times New Roman" w:hAnsi="Times New Roman" w:cs="Times New Roman"/>
          <w:i/>
          <w:iCs/>
          <w:color w:val="222222"/>
          <w:sz w:val="24"/>
          <w:szCs w:val="24"/>
          <w:shd w:val="clear" w:color="auto" w:fill="FFFFFF"/>
        </w:rPr>
        <w:t>l of Management</w:t>
      </w:r>
      <w:r w:rsidRPr="00BD34BE">
        <w:rPr>
          <w:rFonts w:ascii="Times New Roman" w:hAnsi="Times New Roman" w:cs="Times New Roman"/>
          <w:color w:val="222222"/>
          <w:sz w:val="24"/>
          <w:szCs w:val="24"/>
          <w:shd w:val="clear" w:color="auto" w:fill="FFFFFF"/>
        </w:rPr>
        <w:t>, </w:t>
      </w:r>
      <w:r w:rsidRPr="00BD34BE">
        <w:rPr>
          <w:rFonts w:ascii="Times New Roman" w:hAnsi="Times New Roman" w:cs="Times New Roman"/>
          <w:i/>
          <w:iCs/>
          <w:color w:val="222222"/>
          <w:sz w:val="24"/>
          <w:szCs w:val="24"/>
          <w:shd w:val="clear" w:color="auto" w:fill="FFFFFF"/>
        </w:rPr>
        <w:t>43</w:t>
      </w:r>
      <w:r w:rsidRPr="00BD34BE">
        <w:rPr>
          <w:rFonts w:ascii="Times New Roman" w:hAnsi="Times New Roman" w:cs="Times New Roman"/>
          <w:color w:val="222222"/>
          <w:sz w:val="24"/>
          <w:szCs w:val="24"/>
          <w:shd w:val="clear" w:color="auto" w:fill="FFFFFF"/>
        </w:rPr>
        <w:t>(4), 973-997.</w:t>
      </w:r>
    </w:p>
    <w:sectPr w:rsidR="00BD34BE" w:rsidRPr="00BD34BE" w:rsidSect="00BD34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E3D" w:rsidRDefault="00965E3D" w:rsidP="00BD34BE">
      <w:pPr>
        <w:spacing w:after="0" w:line="240" w:lineRule="auto"/>
      </w:pPr>
      <w:r>
        <w:separator/>
      </w:r>
    </w:p>
  </w:endnote>
  <w:endnote w:type="continuationSeparator" w:id="1">
    <w:p w:rsidR="00965E3D" w:rsidRDefault="00965E3D" w:rsidP="00BD3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E3D" w:rsidRDefault="00965E3D" w:rsidP="00BD34BE">
      <w:pPr>
        <w:spacing w:after="0" w:line="240" w:lineRule="auto"/>
      </w:pPr>
      <w:r>
        <w:separator/>
      </w:r>
    </w:p>
  </w:footnote>
  <w:footnote w:type="continuationSeparator" w:id="1">
    <w:p w:rsidR="00965E3D" w:rsidRDefault="00965E3D" w:rsidP="00BD34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BE" w:rsidRPr="00BD34BE" w:rsidRDefault="00BD34BE" w:rsidP="00BD34BE">
    <w:pPr>
      <w:rPr>
        <w:rFonts w:ascii="Times New Roman" w:hAnsi="Times New Roman" w:cs="Times New Roman"/>
        <w:w w:val="105"/>
        <w:sz w:val="24"/>
        <w:szCs w:val="24"/>
        <w:lang w:eastAsia="en-GB"/>
      </w:rPr>
    </w:pPr>
    <w:r w:rsidRPr="00BD34BE">
      <w:rPr>
        <w:rFonts w:ascii="Times New Roman" w:hAnsi="Times New Roman" w:cs="Times New Roman"/>
        <w:w w:val="105"/>
        <w:sz w:val="24"/>
        <w:szCs w:val="24"/>
        <w:lang w:eastAsia="en-GB"/>
      </w:rPr>
      <w:t>LEARNING ORGANIZATIONS HAVE THE POTENTIAL TO REACH HIGH LEVELS OF EFFICIENCY AND PERFORMANCE.</w:t>
    </w:r>
    <w:r w:rsidRPr="00BD34BE">
      <w:rPr>
        <w:rFonts w:ascii="Times New Roman" w:hAnsi="Times New Roman" w:cs="Times New Roman"/>
        <w:w w:val="105"/>
        <w:sz w:val="24"/>
        <w:szCs w:val="24"/>
        <w:lang w:eastAsia="en-GB"/>
      </w:rPr>
      <w:tab/>
    </w:r>
    <w:sdt>
      <w:sdtPr>
        <w:rPr>
          <w:rFonts w:ascii="Times New Roman" w:hAnsi="Times New Roman" w:cs="Times New Roman"/>
          <w:sz w:val="24"/>
          <w:szCs w:val="24"/>
        </w:rPr>
        <w:id w:val="1003628965"/>
        <w:docPartObj>
          <w:docPartGallery w:val="Page Numbers (Top of Page)"/>
          <w:docPartUnique/>
        </w:docPartObj>
      </w:sdtPr>
      <w:sdtEndPr>
        <w:rPr>
          <w:noProof/>
        </w:rPr>
      </w:sdtEndPr>
      <w:sdtContent>
        <w:r w:rsidR="00055E1E">
          <w:rPr>
            <w:rFonts w:ascii="Times New Roman" w:hAnsi="Times New Roman" w:cs="Times New Roman"/>
            <w:sz w:val="24"/>
            <w:szCs w:val="24"/>
          </w:rPr>
          <w:t xml:space="preserve">                                                                    </w:t>
        </w:r>
        <w:r w:rsidR="00E21DEE" w:rsidRPr="00BD34BE">
          <w:rPr>
            <w:rFonts w:ascii="Times New Roman" w:hAnsi="Times New Roman" w:cs="Times New Roman"/>
            <w:sz w:val="24"/>
            <w:szCs w:val="24"/>
          </w:rPr>
          <w:fldChar w:fldCharType="begin"/>
        </w:r>
        <w:r w:rsidRPr="00BD34BE">
          <w:rPr>
            <w:rFonts w:ascii="Times New Roman" w:hAnsi="Times New Roman" w:cs="Times New Roman"/>
            <w:sz w:val="24"/>
            <w:szCs w:val="24"/>
          </w:rPr>
          <w:instrText xml:space="preserve"> PAGE   \* MERGEFORMAT </w:instrText>
        </w:r>
        <w:r w:rsidR="00E21DEE" w:rsidRPr="00BD34BE">
          <w:rPr>
            <w:rFonts w:ascii="Times New Roman" w:hAnsi="Times New Roman" w:cs="Times New Roman"/>
            <w:sz w:val="24"/>
            <w:szCs w:val="24"/>
          </w:rPr>
          <w:fldChar w:fldCharType="separate"/>
        </w:r>
        <w:r w:rsidR="000C2131">
          <w:rPr>
            <w:rFonts w:ascii="Times New Roman" w:hAnsi="Times New Roman" w:cs="Times New Roman"/>
            <w:noProof/>
            <w:sz w:val="24"/>
            <w:szCs w:val="24"/>
          </w:rPr>
          <w:t>2</w:t>
        </w:r>
        <w:r w:rsidR="00E21DEE" w:rsidRPr="00BD34BE">
          <w:rPr>
            <w:rFonts w:ascii="Times New Roman" w:hAnsi="Times New Roman" w:cs="Times New Roman"/>
            <w:noProof/>
            <w:sz w:val="24"/>
            <w:szCs w:val="24"/>
          </w:rPr>
          <w:fldChar w:fldCharType="end"/>
        </w:r>
      </w:sdtContent>
    </w:sdt>
  </w:p>
  <w:p w:rsidR="00BD34BE" w:rsidRPr="00BD34BE" w:rsidRDefault="00BD34B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BE" w:rsidRPr="00BD34BE" w:rsidRDefault="00BD34BE" w:rsidP="00BD34BE">
    <w:pPr>
      <w:rPr>
        <w:rFonts w:ascii="Times New Roman" w:hAnsi="Times New Roman" w:cs="Times New Roman"/>
        <w:w w:val="105"/>
        <w:sz w:val="24"/>
        <w:szCs w:val="24"/>
        <w:lang w:eastAsia="en-GB"/>
      </w:rPr>
    </w:pPr>
    <w:r w:rsidRPr="00BD34BE">
      <w:rPr>
        <w:rFonts w:ascii="Times New Roman" w:hAnsi="Times New Roman" w:cs="Times New Roman"/>
        <w:sz w:val="24"/>
        <w:szCs w:val="24"/>
      </w:rPr>
      <w:t xml:space="preserve">Running Head: </w:t>
    </w:r>
    <w:r w:rsidRPr="00BD34BE">
      <w:rPr>
        <w:rFonts w:ascii="Times New Roman" w:hAnsi="Times New Roman" w:cs="Times New Roman"/>
        <w:w w:val="105"/>
        <w:sz w:val="24"/>
        <w:szCs w:val="24"/>
        <w:lang w:eastAsia="en-GB"/>
      </w:rPr>
      <w:t>LEARNING ORGANIZATIONS HAVE THE POTENTIAL TO REACH HIGH LEVELS OF EFFICIENCY AND PERFORMANCE.</w:t>
    </w:r>
    <w:r w:rsidRPr="00BD34BE">
      <w:rPr>
        <w:rFonts w:ascii="Times New Roman" w:hAnsi="Times New Roman" w:cs="Times New Roman"/>
        <w:w w:val="105"/>
        <w:sz w:val="24"/>
        <w:szCs w:val="24"/>
        <w:lang w:eastAsia="en-GB"/>
      </w:rPr>
      <w:tab/>
    </w:r>
    <w:r w:rsidRPr="00BD34BE">
      <w:rPr>
        <w:rFonts w:ascii="Times New Roman" w:hAnsi="Times New Roman" w:cs="Times New Roman"/>
        <w:w w:val="105"/>
        <w:sz w:val="24"/>
        <w:szCs w:val="24"/>
        <w:lang w:eastAsia="en-GB"/>
      </w:rPr>
      <w:tab/>
    </w:r>
    <w:sdt>
      <w:sdtPr>
        <w:rPr>
          <w:rFonts w:ascii="Times New Roman" w:hAnsi="Times New Roman" w:cs="Times New Roman"/>
          <w:sz w:val="24"/>
          <w:szCs w:val="24"/>
        </w:rPr>
        <w:id w:val="-2145491813"/>
        <w:docPartObj>
          <w:docPartGallery w:val="Page Numbers (Top of Page)"/>
          <w:docPartUnique/>
        </w:docPartObj>
      </w:sdtPr>
      <w:sdtEndPr>
        <w:rPr>
          <w:noProof/>
        </w:rPr>
      </w:sdtEndPr>
      <w:sdtContent>
        <w:r w:rsidR="00055E1E">
          <w:rPr>
            <w:rFonts w:ascii="Times New Roman" w:hAnsi="Times New Roman" w:cs="Times New Roman"/>
            <w:sz w:val="24"/>
            <w:szCs w:val="24"/>
          </w:rPr>
          <w:t xml:space="preserve">                                 </w:t>
        </w:r>
        <w:r w:rsidR="00E21DEE" w:rsidRPr="00BD34BE">
          <w:rPr>
            <w:rFonts w:ascii="Times New Roman" w:hAnsi="Times New Roman" w:cs="Times New Roman"/>
            <w:sz w:val="24"/>
            <w:szCs w:val="24"/>
          </w:rPr>
          <w:fldChar w:fldCharType="begin"/>
        </w:r>
        <w:r w:rsidRPr="00BD34BE">
          <w:rPr>
            <w:rFonts w:ascii="Times New Roman" w:hAnsi="Times New Roman" w:cs="Times New Roman"/>
            <w:sz w:val="24"/>
            <w:szCs w:val="24"/>
          </w:rPr>
          <w:instrText xml:space="preserve"> PAGE   \* MERGEFORMAT </w:instrText>
        </w:r>
        <w:r w:rsidR="00E21DEE" w:rsidRPr="00BD34BE">
          <w:rPr>
            <w:rFonts w:ascii="Times New Roman" w:hAnsi="Times New Roman" w:cs="Times New Roman"/>
            <w:sz w:val="24"/>
            <w:szCs w:val="24"/>
          </w:rPr>
          <w:fldChar w:fldCharType="separate"/>
        </w:r>
        <w:r w:rsidR="000C2131">
          <w:rPr>
            <w:rFonts w:ascii="Times New Roman" w:hAnsi="Times New Roman" w:cs="Times New Roman"/>
            <w:noProof/>
            <w:sz w:val="24"/>
            <w:szCs w:val="24"/>
          </w:rPr>
          <w:t>1</w:t>
        </w:r>
        <w:r w:rsidR="00E21DEE" w:rsidRPr="00BD34BE">
          <w:rPr>
            <w:rFonts w:ascii="Times New Roman" w:hAnsi="Times New Roman" w:cs="Times New Roman"/>
            <w:noProof/>
            <w:sz w:val="24"/>
            <w:szCs w:val="24"/>
          </w:rPr>
          <w:fldChar w:fldCharType="end"/>
        </w:r>
      </w:sdtContent>
    </w:sdt>
  </w:p>
  <w:p w:rsidR="00BD34BE" w:rsidRPr="00BD34BE" w:rsidRDefault="00BD34B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0EC8"/>
    <w:rsid w:val="00012057"/>
    <w:rsid w:val="00055E1E"/>
    <w:rsid w:val="00067B78"/>
    <w:rsid w:val="000826BE"/>
    <w:rsid w:val="000C2131"/>
    <w:rsid w:val="000E7AA0"/>
    <w:rsid w:val="0016663D"/>
    <w:rsid w:val="00172695"/>
    <w:rsid w:val="00194BFF"/>
    <w:rsid w:val="00206A21"/>
    <w:rsid w:val="003D6FEA"/>
    <w:rsid w:val="00475F54"/>
    <w:rsid w:val="004F5A08"/>
    <w:rsid w:val="0071130C"/>
    <w:rsid w:val="00771736"/>
    <w:rsid w:val="007A0EC8"/>
    <w:rsid w:val="007B7F39"/>
    <w:rsid w:val="007C459D"/>
    <w:rsid w:val="00840C16"/>
    <w:rsid w:val="008E6124"/>
    <w:rsid w:val="008F4B9D"/>
    <w:rsid w:val="00934532"/>
    <w:rsid w:val="00965E3D"/>
    <w:rsid w:val="00A94A20"/>
    <w:rsid w:val="00AB7CA4"/>
    <w:rsid w:val="00B23958"/>
    <w:rsid w:val="00BB4B7B"/>
    <w:rsid w:val="00BD34BE"/>
    <w:rsid w:val="00D53E5D"/>
    <w:rsid w:val="00D60EEE"/>
    <w:rsid w:val="00E20D70"/>
    <w:rsid w:val="00E21DEE"/>
    <w:rsid w:val="00E906E9"/>
    <w:rsid w:val="00F03030"/>
    <w:rsid w:val="00F23197"/>
    <w:rsid w:val="00F41190"/>
    <w:rsid w:val="00F83525"/>
    <w:rsid w:val="00F87D04"/>
    <w:rsid w:val="00F93E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D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4BE"/>
  </w:style>
  <w:style w:type="paragraph" w:styleId="Footer">
    <w:name w:val="footer"/>
    <w:basedOn w:val="Normal"/>
    <w:link w:val="FooterChar"/>
    <w:uiPriority w:val="99"/>
    <w:unhideWhenUsed/>
    <w:rsid w:val="00BD3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4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2382</Words>
  <Characters>13582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2018-03-27T17:57:00Z</dcterms:created>
  <dcterms:modified xsi:type="dcterms:W3CDTF">2018-03-27T17:57:00Z</dcterms:modified>
</cp:coreProperties>
</file>